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24"/>
        <w:tblOverlap w:val="never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387"/>
        <w:gridCol w:w="492"/>
        <w:gridCol w:w="2427"/>
        <w:gridCol w:w="2570"/>
        <w:gridCol w:w="285"/>
        <w:gridCol w:w="999"/>
        <w:gridCol w:w="1838"/>
      </w:tblGrid>
      <w:tr w:rsidR="00D53833" w:rsidRPr="00D53833" w:rsidTr="00D53833">
        <w:trPr>
          <w:trHeight w:val="607"/>
        </w:trPr>
        <w:tc>
          <w:tcPr>
            <w:tcW w:w="105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240" w:right="240"/>
              <w:jc w:val="center"/>
              <w:rPr>
                <w:rFonts w:ascii="標楷體" w:eastAsia="標楷體" w:hAnsi="標楷體"/>
                <w:b/>
                <w:kern w:val="3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北商業大學國際會議廳提供使用申請單</w:t>
            </w:r>
          </w:p>
        </w:tc>
      </w:tr>
      <w:tr w:rsidR="00D53833" w:rsidRPr="00D53833" w:rsidTr="00D53833">
        <w:trPr>
          <w:trHeight w:hRule="exact" w:val="70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會議場所名稱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238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承曦樓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10樓國際會議廳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rPr>
                <w:rFonts w:ascii="標楷體" w:eastAsia="標楷體" w:hAnsi="標楷體" w:hint="eastAsia"/>
              </w:rPr>
            </w:pPr>
          </w:p>
        </w:tc>
      </w:tr>
      <w:tr w:rsidR="00D53833" w:rsidRPr="00D53833" w:rsidTr="00D53833">
        <w:trPr>
          <w:trHeight w:hRule="exact" w:val="631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課程（活動）名稱及內容說明</w:t>
            </w:r>
          </w:p>
        </w:tc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spacing w:line="240" w:lineRule="exact"/>
              <w:jc w:val="both"/>
              <w:textAlignment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D53833" w:rsidRPr="00D53833" w:rsidTr="00D53833">
        <w:trPr>
          <w:trHeight w:hRule="exact" w:val="631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pacing w:val="50"/>
                <w:w w:val="97"/>
                <w:kern w:val="0"/>
                <w:sz w:val="20"/>
                <w:szCs w:val="20"/>
              </w:rPr>
              <w:t xml:space="preserve">使 用 時 </w:t>
            </w:r>
            <w:r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32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D53833" w:rsidRDefault="00D53833" w:rsidP="00D53833">
            <w:pPr>
              <w:spacing w:line="320" w:lineRule="exact"/>
              <w:ind w:firstLine="24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D53833" w:rsidRPr="00D53833" w:rsidTr="00D53833">
        <w:trPr>
          <w:trHeight w:val="732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請勾選辦理方式：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1.校內單位主辦校內業務。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2.校內學生社團或系學會主辦且為校內社團或系學會活動。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3.校內各單位、學生社團或系學會，與本校校友團體合辦或協辦活動。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4.校內各單位、學生社團或系學會，與校外單位合辦或協辦活動，未向參與人員收取費用。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5.校內各單位、學生社團或系學會，與校外單位合辦或協辦活動，有向參與人員收取費用。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6.校內各單位執行各類計畫，本校提供場地辦理業務，有繳交管理費。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7.校內各單位執行各類計畫，本校提供場地辦理業務，無繳交管理費。</w:t>
            </w:r>
          </w:p>
          <w:p w:rsidR="00D53833" w:rsidRDefault="00D53833" w:rsidP="00D5383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8.校外單位使用。</w:t>
            </w:r>
          </w:p>
          <w:p w:rsidR="00D53833" w:rsidRDefault="00D53833" w:rsidP="00D53833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校外單位(機關團體或個人)名稱：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D53833" w:rsidRPr="00D53833" w:rsidTr="00D53833">
        <w:trPr>
          <w:trHeight w:val="2656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33" w:rsidRDefault="00D53833" w:rsidP="00D53833">
            <w:pPr>
              <w:spacing w:line="320" w:lineRule="exact"/>
              <w:ind w:left="110" w:right="187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茲申請使用上列活動場地及設備，願遵守貴(本)校場地提供使用、收費及管理辦法，如有違反規定，願接受隨時停止使用之處分；如有不當使用導致任何財物損壞，願負賠償責任，絕無異議，</w:t>
            </w:r>
            <w:proofErr w:type="gramStart"/>
            <w:r>
              <w:rPr>
                <w:rFonts w:ascii="標楷體" w:eastAsia="標楷體" w:hAnsi="標楷體" w:hint="eastAsia"/>
              </w:rPr>
              <w:t>敬請惠核</w:t>
            </w:r>
            <w:proofErr w:type="gramEnd"/>
            <w:r>
              <w:rPr>
                <w:rFonts w:ascii="標楷體" w:eastAsia="標楷體" w:hAnsi="標楷體" w:hint="eastAsia"/>
              </w:rPr>
              <w:t>。此致  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北商業大學</w:t>
            </w:r>
          </w:p>
          <w:tbl>
            <w:tblPr>
              <w:tblW w:w="0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631"/>
              <w:gridCol w:w="1812"/>
              <w:gridCol w:w="2680"/>
            </w:tblGrid>
            <w:tr w:rsidR="00D53833" w:rsidRPr="00D53833">
              <w:trPr>
                <w:trHeight w:val="357"/>
                <w:jc w:val="right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53833" w:rsidRPr="00D53833">
              <w:trPr>
                <w:trHeight w:val="726"/>
                <w:jc w:val="right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D53833" w:rsidRPr="00D53833">
              <w:trPr>
                <w:trHeight w:val="288"/>
                <w:jc w:val="right"/>
              </w:trPr>
              <w:tc>
                <w:tcPr>
                  <w:tcW w:w="1383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 w:hint="eastAsia"/>
                      <w:color w:val="999999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12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8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D53833" w:rsidRDefault="00D53833" w:rsidP="00D53833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D53833" w:rsidRDefault="00D53833" w:rsidP="00D53833">
            <w:pPr>
              <w:ind w:left="480" w:right="480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D53833" w:rsidRPr="00D53833" w:rsidTr="00D53833">
        <w:trPr>
          <w:trHeight w:val="19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D53833" w:rsidRDefault="00D53833" w:rsidP="00D5383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D53833" w:rsidRDefault="00D53833" w:rsidP="00D5383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D53833" w:rsidRDefault="00D53833" w:rsidP="00D5383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33" w:rsidRDefault="00D53833" w:rsidP="00D53833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一、場地提供使用經核可後，應於</w:t>
            </w:r>
            <w:r>
              <w:rPr>
                <w:rFonts w:ascii="標楷體" w:eastAsia="標楷體" w:hAnsi="標楷體" w:hint="eastAsia"/>
                <w:b/>
              </w:rPr>
              <w:t>核定後</w:t>
            </w:r>
            <w:r>
              <w:rPr>
                <w:rFonts w:ascii="標楷體" w:eastAsia="標楷體" w:hAnsi="標楷體" w:hint="eastAsia"/>
                <w:b/>
                <w:u w:val="single"/>
              </w:rPr>
              <w:t>三日內</w:t>
            </w:r>
            <w:r>
              <w:rPr>
                <w:rFonts w:ascii="標楷體" w:eastAsia="標楷體" w:hAnsi="標楷體" w:hint="eastAsia"/>
                <w:b/>
              </w:rPr>
              <w:t>至</w:t>
            </w:r>
            <w:r>
              <w:rPr>
                <w:rFonts w:ascii="標楷體" w:eastAsia="標楷體" w:hAnsi="標楷體" w:hint="eastAsia"/>
                <w:b/>
                <w:kern w:val="0"/>
              </w:rPr>
              <w:t>本校出納組或匯入本校台灣銀行城中分行帳戶，戶名：國立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</w:rPr>
              <w:t>北商業大學401專戶，帳號045036070011繳清相關費用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D53833" w:rsidRDefault="00D53833" w:rsidP="00D53833">
            <w:pPr>
              <w:ind w:left="480" w:hanging="480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</w:rPr>
              <w:t>二、場地設備使用前即已產生瑕疵或毀損者，使用單位應即告知處理，若因疏於告知而繼續使用至損害發生或擴大者，應由借用單位負責賠償。</w:t>
            </w:r>
          </w:p>
          <w:p w:rsidR="00D53833" w:rsidRDefault="00D53833" w:rsidP="00D53833">
            <w:pPr>
              <w:ind w:left="480" w:hanging="48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三、場地提供使用，請務必於結束後回復及清潔場地。(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承曦樓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10樓國際會議廳內嚴禁飲食。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53833" w:rsidRDefault="00D53833" w:rsidP="00D53833">
            <w:pPr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四、校內單位請確實填寫本申請表，勿任意替校外單位代申請場地，如有不實記載需負全責。</w:t>
            </w:r>
          </w:p>
          <w:p w:rsidR="00D53833" w:rsidRDefault="00D53833" w:rsidP="00D53833">
            <w:pPr>
              <w:snapToGrid w:val="0"/>
              <w:ind w:left="480" w:hanging="48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五、違反本校場地管理單位使用規定或</w:t>
            </w:r>
            <w:r>
              <w:rPr>
                <w:rFonts w:ascii="標楷體" w:eastAsia="標楷體" w:hAnsi="標楷體" w:hint="eastAsia"/>
                <w:u w:val="single"/>
              </w:rPr>
              <w:t>取消使用未通知本校者</w:t>
            </w:r>
            <w:r>
              <w:rPr>
                <w:rFonts w:ascii="標楷體" w:eastAsia="標楷體" w:hAnsi="標楷體" w:hint="eastAsia"/>
              </w:rPr>
              <w:t>，本校得視情節輕重，停止六個月以上不等之使用權。</w:t>
            </w:r>
          </w:p>
        </w:tc>
      </w:tr>
      <w:tr w:rsidR="00D53833" w:rsidRPr="00D53833" w:rsidTr="00D53833">
        <w:trPr>
          <w:trHeight w:val="390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1920" w:right="19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以下由經營管理組填寫</w:t>
            </w:r>
          </w:p>
        </w:tc>
      </w:tr>
      <w:tr w:rsidR="00D53833" w:rsidRPr="00D53833" w:rsidTr="00D53833">
        <w:trPr>
          <w:cantSplit/>
          <w:trHeight w:val="74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依本校場地提供使用、收費及管理要點第五條第二項第    款收費</w:t>
            </w:r>
          </w:p>
          <w:p w:rsidR="00D53833" w:rsidRDefault="00D53833" w:rsidP="00D5383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D53833" w:rsidRPr="00D53833" w:rsidTr="00D53833">
        <w:trPr>
          <w:cantSplit/>
          <w:trHeight w:val="519"/>
        </w:trPr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場地管理單位-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資網中心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-120" w:right="-12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D53833" w:rsidRPr="00D53833" w:rsidTr="00D53833">
        <w:trPr>
          <w:cantSplit/>
          <w:trHeight w:val="734"/>
        </w:trPr>
        <w:tc>
          <w:tcPr>
            <w:tcW w:w="2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3833" w:rsidRPr="00D53833" w:rsidTr="00D53833">
        <w:trPr>
          <w:cantSplit/>
          <w:trHeight w:val="538"/>
        </w:trPr>
        <w:tc>
          <w:tcPr>
            <w:tcW w:w="2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33" w:rsidRDefault="00D53833" w:rsidP="00D53833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總務處經營管理組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D53833" w:rsidRDefault="00D53833" w:rsidP="00D53833">
            <w:pPr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D53833" w:rsidRPr="00D53833" w:rsidTr="00D53833">
        <w:trPr>
          <w:cantSplit/>
          <w:trHeight w:val="734"/>
        </w:trPr>
        <w:tc>
          <w:tcPr>
            <w:tcW w:w="2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33" w:rsidRDefault="00D53833" w:rsidP="00D53833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C76E2A" w:rsidRDefault="00C76E2A" w:rsidP="004E5903">
      <w:pPr>
        <w:ind w:right="800"/>
        <w:rPr>
          <w:rFonts w:ascii="Arial" w:hAnsi="Arial" w:cs="Arial" w:hint="eastAsia"/>
          <w:sz w:val="20"/>
        </w:rPr>
      </w:pPr>
    </w:p>
    <w:sectPr w:rsidR="00C76E2A" w:rsidSect="00DD2845">
      <w:headerReference w:type="even" r:id="rId8"/>
      <w:headerReference w:type="default" r:id="rId9"/>
      <w:headerReference w:type="first" r:id="rId10"/>
      <w:pgSz w:w="11906" w:h="16838" w:code="9"/>
      <w:pgMar w:top="567" w:right="51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B3" w:rsidRDefault="001A4AB3" w:rsidP="00C6206E">
      <w:r>
        <w:separator/>
      </w:r>
    </w:p>
  </w:endnote>
  <w:endnote w:type="continuationSeparator" w:id="0">
    <w:p w:rsidR="001A4AB3" w:rsidRDefault="001A4AB3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B3" w:rsidRDefault="001A4AB3" w:rsidP="00C6206E">
      <w:r>
        <w:separator/>
      </w:r>
    </w:p>
  </w:footnote>
  <w:footnote w:type="continuationSeparator" w:id="0">
    <w:p w:rsidR="001A4AB3" w:rsidRDefault="001A4AB3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24" w:rsidRDefault="001316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6949" o:spid="_x0000_s2050" type="#_x0000_t75" style="position:absolute;margin-left:0;margin-top:0;width:527.05pt;height:527.05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24" w:rsidRDefault="001316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6950" o:spid="_x0000_s2051" type="#_x0000_t75" style="position:absolute;margin-left:0;margin-top:0;width:527.05pt;height:527.05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24" w:rsidRDefault="001316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6948" o:spid="_x0000_s2049" type="#_x0000_t75" style="position:absolute;margin-left:0;margin-top:0;width:527.05pt;height:527.05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05C9C"/>
    <w:rsid w:val="00027AAB"/>
    <w:rsid w:val="00032B3F"/>
    <w:rsid w:val="00054394"/>
    <w:rsid w:val="000622D9"/>
    <w:rsid w:val="00065A9F"/>
    <w:rsid w:val="00085CC3"/>
    <w:rsid w:val="000C4D7B"/>
    <w:rsid w:val="000C7EBD"/>
    <w:rsid w:val="000D2326"/>
    <w:rsid w:val="000D6ACA"/>
    <w:rsid w:val="001066EC"/>
    <w:rsid w:val="00112D0E"/>
    <w:rsid w:val="00120E79"/>
    <w:rsid w:val="00123B17"/>
    <w:rsid w:val="00131624"/>
    <w:rsid w:val="00140183"/>
    <w:rsid w:val="001A4AB3"/>
    <w:rsid w:val="001B3004"/>
    <w:rsid w:val="001D1C82"/>
    <w:rsid w:val="001E0C3C"/>
    <w:rsid w:val="002131AB"/>
    <w:rsid w:val="002246B7"/>
    <w:rsid w:val="00225443"/>
    <w:rsid w:val="00226FFB"/>
    <w:rsid w:val="00236AEF"/>
    <w:rsid w:val="00243260"/>
    <w:rsid w:val="002468A3"/>
    <w:rsid w:val="00266FF2"/>
    <w:rsid w:val="002E006F"/>
    <w:rsid w:val="002E40C0"/>
    <w:rsid w:val="002F72E8"/>
    <w:rsid w:val="00323178"/>
    <w:rsid w:val="00345843"/>
    <w:rsid w:val="0035134F"/>
    <w:rsid w:val="003735DC"/>
    <w:rsid w:val="00395ABC"/>
    <w:rsid w:val="00396156"/>
    <w:rsid w:val="003A55C9"/>
    <w:rsid w:val="004337C9"/>
    <w:rsid w:val="00486BCA"/>
    <w:rsid w:val="004D00BA"/>
    <w:rsid w:val="004E5903"/>
    <w:rsid w:val="005225C9"/>
    <w:rsid w:val="00553CBF"/>
    <w:rsid w:val="00563B28"/>
    <w:rsid w:val="005813C7"/>
    <w:rsid w:val="005818E3"/>
    <w:rsid w:val="005D55C6"/>
    <w:rsid w:val="0063531E"/>
    <w:rsid w:val="00664140"/>
    <w:rsid w:val="006805B9"/>
    <w:rsid w:val="00706DCB"/>
    <w:rsid w:val="0071456B"/>
    <w:rsid w:val="00737BA0"/>
    <w:rsid w:val="00804C81"/>
    <w:rsid w:val="00810870"/>
    <w:rsid w:val="00815A20"/>
    <w:rsid w:val="00820DD6"/>
    <w:rsid w:val="008640DE"/>
    <w:rsid w:val="008B0330"/>
    <w:rsid w:val="008D136A"/>
    <w:rsid w:val="009003F1"/>
    <w:rsid w:val="00910D06"/>
    <w:rsid w:val="009126AB"/>
    <w:rsid w:val="009303BF"/>
    <w:rsid w:val="009B617B"/>
    <w:rsid w:val="00A62281"/>
    <w:rsid w:val="00A65DB3"/>
    <w:rsid w:val="00AD1714"/>
    <w:rsid w:val="00AD51B6"/>
    <w:rsid w:val="00B261C4"/>
    <w:rsid w:val="00B301CF"/>
    <w:rsid w:val="00B32F22"/>
    <w:rsid w:val="00B3435E"/>
    <w:rsid w:val="00B35463"/>
    <w:rsid w:val="00B4409A"/>
    <w:rsid w:val="00B509F1"/>
    <w:rsid w:val="00B65318"/>
    <w:rsid w:val="00B95CFC"/>
    <w:rsid w:val="00BB0019"/>
    <w:rsid w:val="00C11398"/>
    <w:rsid w:val="00C11A0D"/>
    <w:rsid w:val="00C26158"/>
    <w:rsid w:val="00C40B6F"/>
    <w:rsid w:val="00C55594"/>
    <w:rsid w:val="00C6206E"/>
    <w:rsid w:val="00C76E2A"/>
    <w:rsid w:val="00CB6FC8"/>
    <w:rsid w:val="00CC1B52"/>
    <w:rsid w:val="00CE36A6"/>
    <w:rsid w:val="00CF2459"/>
    <w:rsid w:val="00D168C2"/>
    <w:rsid w:val="00D4073C"/>
    <w:rsid w:val="00D53833"/>
    <w:rsid w:val="00D7078B"/>
    <w:rsid w:val="00DA68EE"/>
    <w:rsid w:val="00DD2845"/>
    <w:rsid w:val="00DF10E0"/>
    <w:rsid w:val="00E30376"/>
    <w:rsid w:val="00E33748"/>
    <w:rsid w:val="00E35BD6"/>
    <w:rsid w:val="00E43A1A"/>
    <w:rsid w:val="00E81AE6"/>
    <w:rsid w:val="00EC5312"/>
    <w:rsid w:val="00EF6EC1"/>
    <w:rsid w:val="00F15732"/>
    <w:rsid w:val="00F218C3"/>
    <w:rsid w:val="00F419FB"/>
    <w:rsid w:val="00F70E35"/>
    <w:rsid w:val="00FA2908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288161F-E088-420E-9035-1CC088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qFormat/>
    <w:rsid w:val="001066EC"/>
    <w:pPr>
      <w:ind w:leftChars="200" w:left="480"/>
    </w:pPr>
  </w:style>
  <w:style w:type="character" w:styleId="a9">
    <w:name w:val="annotation reference"/>
    <w:uiPriority w:val="99"/>
    <w:semiHidden/>
    <w:unhideWhenUsed/>
    <w:rsid w:val="00DA68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68EE"/>
  </w:style>
  <w:style w:type="character" w:customStyle="1" w:styleId="ab">
    <w:name w:val="註解文字 字元"/>
    <w:link w:val="aa"/>
    <w:uiPriority w:val="99"/>
    <w:semiHidden/>
    <w:rsid w:val="00DA68E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68EE"/>
    <w:rPr>
      <w:b/>
      <w:bCs/>
    </w:rPr>
  </w:style>
  <w:style w:type="character" w:customStyle="1" w:styleId="ad">
    <w:name w:val="註解主旨 字元"/>
    <w:link w:val="ac"/>
    <w:uiPriority w:val="99"/>
    <w:semiHidden/>
    <w:rsid w:val="00DA68E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2E70-F055-45F9-94A2-FCD08A71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SYNNEX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國立臺北商業大學會議場所使用申請單</dc:title>
  <dc:subject/>
  <dc:creator>user</dc:creator>
  <cp:keywords/>
  <cp:lastModifiedBy>Mei</cp:lastModifiedBy>
  <cp:revision>2</cp:revision>
  <cp:lastPrinted>2018-10-31T07:27:00Z</cp:lastPrinted>
  <dcterms:created xsi:type="dcterms:W3CDTF">2021-01-18T07:55:00Z</dcterms:created>
  <dcterms:modified xsi:type="dcterms:W3CDTF">2021-01-18T07:55:00Z</dcterms:modified>
</cp:coreProperties>
</file>